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EC4" w:rsidRDefault="00E56EC4" w:rsidP="00E56EC4">
      <w:pPr>
        <w:pStyle w:val="a3"/>
        <w:spacing w:after="0" w:line="240" w:lineRule="auto"/>
        <w:jc w:val="center"/>
        <w:rPr>
          <w:rFonts w:cs="David"/>
          <w:sz w:val="24"/>
          <w:szCs w:val="24"/>
        </w:rPr>
      </w:pPr>
      <w:r>
        <w:rPr>
          <w:rFonts w:cs="David" w:hint="cs"/>
          <w:noProof/>
          <w:sz w:val="28"/>
          <w:szCs w:val="28"/>
        </w:rPr>
        <w:drawing>
          <wp:inline distT="0" distB="0" distL="0" distR="0">
            <wp:extent cx="3143250" cy="1257300"/>
            <wp:effectExtent l="0" t="0" r="0" b="0"/>
            <wp:docPr id="1" name="תמונה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1257300"/>
                    </a:xfrm>
                    <a:prstGeom prst="rect">
                      <a:avLst/>
                    </a:prstGeom>
                    <a:noFill/>
                    <a:ln>
                      <a:noFill/>
                    </a:ln>
                  </pic:spPr>
                </pic:pic>
              </a:graphicData>
            </a:graphic>
          </wp:inline>
        </w:drawing>
      </w:r>
    </w:p>
    <w:p w:rsidR="00E56EC4" w:rsidRDefault="00E56EC4" w:rsidP="00E56EC4">
      <w:pPr>
        <w:pStyle w:val="a3"/>
        <w:spacing w:after="0" w:line="240" w:lineRule="auto"/>
        <w:jc w:val="both"/>
        <w:rPr>
          <w:rFonts w:cs="David"/>
          <w:sz w:val="24"/>
          <w:szCs w:val="24"/>
        </w:rPr>
      </w:pPr>
    </w:p>
    <w:p w:rsidR="00E56EC4" w:rsidRPr="00B16E65" w:rsidRDefault="00E56EC4" w:rsidP="00B16E65">
      <w:pPr>
        <w:pStyle w:val="a3"/>
        <w:numPr>
          <w:ilvl w:val="0"/>
          <w:numId w:val="1"/>
        </w:numPr>
        <w:spacing w:after="0" w:line="240" w:lineRule="auto"/>
        <w:ind w:left="270" w:hanging="630"/>
        <w:jc w:val="both"/>
        <w:rPr>
          <w:rFonts w:cs="David"/>
          <w:sz w:val="24"/>
          <w:szCs w:val="24"/>
        </w:rPr>
      </w:pPr>
      <w:r w:rsidRPr="00E56EC4">
        <w:rPr>
          <w:rFonts w:cs="David" w:hint="cs"/>
          <w:sz w:val="24"/>
          <w:szCs w:val="24"/>
          <w:rtl/>
        </w:rPr>
        <w:t xml:space="preserve">מועצה מקומית יפיע </w:t>
      </w:r>
      <w:r w:rsidR="00AE4268">
        <w:rPr>
          <w:rFonts w:cs="David" w:hint="cs"/>
          <w:sz w:val="24"/>
          <w:szCs w:val="24"/>
          <w:rtl/>
        </w:rPr>
        <w:t xml:space="preserve">נדרשת להתקשר במסגרת פעילותה, מעת לעת, עם בעלי מקצוע מומחים לצורך ביצוע עבודה מקצועית ידע ומומחיות, הזמנה זו להתקשרויות לביצוע עבודה מקצועית הדורשת ידע ומומחיות מיוחדים או </w:t>
      </w:r>
      <w:r w:rsidR="00BE5E4A">
        <w:rPr>
          <w:rFonts w:cs="David" w:hint="cs"/>
          <w:sz w:val="24"/>
          <w:szCs w:val="24"/>
          <w:rtl/>
        </w:rPr>
        <w:t>יחסי אמון מיוחדים בתחומים שונים</w:t>
      </w:r>
      <w:r w:rsidR="004F0704">
        <w:rPr>
          <w:rFonts w:cs="David" w:hint="cs"/>
          <w:sz w:val="24"/>
          <w:szCs w:val="24"/>
          <w:rtl/>
        </w:rPr>
        <w:t xml:space="preserve">. תנאי הסף לכל תחום מומחיות מפורטים בגוף המאגר. </w:t>
      </w:r>
    </w:p>
    <w:p w:rsidR="00E56EC4" w:rsidRPr="00B16E65" w:rsidRDefault="00E56EC4" w:rsidP="00B16E65">
      <w:pPr>
        <w:pStyle w:val="a3"/>
        <w:numPr>
          <w:ilvl w:val="0"/>
          <w:numId w:val="1"/>
        </w:numPr>
        <w:spacing w:after="0" w:line="240" w:lineRule="auto"/>
        <w:ind w:left="270" w:hanging="630"/>
        <w:jc w:val="both"/>
        <w:rPr>
          <w:rFonts w:cs="David"/>
          <w:sz w:val="24"/>
          <w:szCs w:val="24"/>
        </w:rPr>
      </w:pPr>
      <w:r w:rsidRPr="00E56EC4">
        <w:rPr>
          <w:rFonts w:cs="David" w:hint="cs"/>
          <w:sz w:val="24"/>
          <w:szCs w:val="24"/>
          <w:rtl/>
        </w:rPr>
        <w:t>המועצה שומרת על זכותה לעדכן את מאגר היועצים מעת לעת, בכל דרך שתמצא לנכון, ולהזמין יועצים נוספים להצטרף למאגר ו/או בדרך של גריעת יועצים אשר נכללו במאגר ונמצאו בלתי מתאימים.</w:t>
      </w:r>
    </w:p>
    <w:p w:rsidR="00E56EC4" w:rsidRPr="00B16E65" w:rsidRDefault="00E56EC4" w:rsidP="00B16E65">
      <w:pPr>
        <w:pStyle w:val="a3"/>
        <w:numPr>
          <w:ilvl w:val="0"/>
          <w:numId w:val="1"/>
        </w:numPr>
        <w:spacing w:after="0" w:line="240" w:lineRule="auto"/>
        <w:ind w:left="270" w:hanging="630"/>
        <w:jc w:val="both"/>
        <w:rPr>
          <w:rFonts w:cs="David"/>
          <w:sz w:val="24"/>
          <w:szCs w:val="24"/>
          <w:rtl/>
        </w:rPr>
      </w:pPr>
      <w:r w:rsidRPr="00E56EC4">
        <w:rPr>
          <w:rFonts w:cs="David" w:hint="cs"/>
          <w:sz w:val="24"/>
          <w:szCs w:val="24"/>
          <w:rtl/>
        </w:rPr>
        <w:t>ההחלטה על הכללתו או אי הכללתו של מציע במאגר נתונה לשיקול דעתה הבלעדי של המועצה.</w:t>
      </w:r>
    </w:p>
    <w:p w:rsidR="00E56EC4" w:rsidRPr="00B16E65" w:rsidRDefault="00E56EC4" w:rsidP="00B16E65">
      <w:pPr>
        <w:pStyle w:val="a3"/>
        <w:numPr>
          <w:ilvl w:val="0"/>
          <w:numId w:val="1"/>
        </w:numPr>
        <w:spacing w:after="0" w:line="240" w:lineRule="auto"/>
        <w:ind w:left="270" w:hanging="630"/>
        <w:jc w:val="both"/>
        <w:rPr>
          <w:rFonts w:cs="David"/>
          <w:sz w:val="24"/>
          <w:szCs w:val="24"/>
          <w:rtl/>
        </w:rPr>
      </w:pPr>
      <w:r w:rsidRPr="00E56EC4">
        <w:rPr>
          <w:rFonts w:cs="David" w:hint="cs"/>
          <w:sz w:val="24"/>
          <w:szCs w:val="24"/>
          <w:rtl/>
        </w:rPr>
        <w:t>יובהר, כי הזמנת השירות תעשה על-ידי המועצה על-פי צרכיה, מעת לעת, ואין בכניסה למאגר זה כדי לחייב את המועצה בהזמנת שירותים כלשהם מהכלולים במאגר ו/או בכדי להבטיח התקשרות עם יועץ בהיקף כלשהו, וליועץ לא תהא כל טענה ו/או דרישה ו/או תביעה מכל מין וסוג שהוא בקשר לכך.</w:t>
      </w:r>
    </w:p>
    <w:p w:rsidR="00E56EC4" w:rsidRPr="00D11587" w:rsidRDefault="00E56EC4" w:rsidP="00D11587">
      <w:pPr>
        <w:pStyle w:val="a3"/>
        <w:numPr>
          <w:ilvl w:val="0"/>
          <w:numId w:val="1"/>
        </w:numPr>
        <w:spacing w:after="0" w:line="240" w:lineRule="auto"/>
        <w:ind w:left="270" w:hanging="630"/>
        <w:jc w:val="both"/>
        <w:rPr>
          <w:rFonts w:cs="David"/>
          <w:sz w:val="24"/>
          <w:szCs w:val="24"/>
          <w:rtl/>
        </w:rPr>
      </w:pPr>
      <w:r w:rsidRPr="00E56EC4">
        <w:rPr>
          <w:rFonts w:cs="David" w:hint="cs"/>
          <w:sz w:val="24"/>
          <w:szCs w:val="24"/>
          <w:rtl/>
        </w:rPr>
        <w:t>למניעת ספקות, יובהר, כי המועצה תהא רשאית להתקשר עם יועצים שאינם נכללים במאגר היועצים בכל דרך אחרת אפשרית לפי הדין.</w:t>
      </w:r>
    </w:p>
    <w:p w:rsidR="00E56EC4" w:rsidRPr="00E56EC4" w:rsidRDefault="00E56EC4" w:rsidP="00D11587">
      <w:pPr>
        <w:pStyle w:val="a3"/>
        <w:spacing w:after="0" w:line="240" w:lineRule="auto"/>
        <w:ind w:left="270"/>
        <w:jc w:val="both"/>
        <w:rPr>
          <w:rFonts w:cs="David"/>
          <w:sz w:val="24"/>
          <w:szCs w:val="24"/>
          <w:rtl/>
        </w:rPr>
      </w:pPr>
      <w:r w:rsidRPr="00E56EC4">
        <w:rPr>
          <w:rFonts w:cs="David" w:hint="cs"/>
          <w:sz w:val="24"/>
          <w:szCs w:val="24"/>
          <w:rtl/>
        </w:rPr>
        <w:t>למועצה שמורה הזכות לפעול בהתאם להוראות הנוהל אף בטרם חלוף מועד ההגשה ובתנאי נוהל.</w:t>
      </w:r>
    </w:p>
    <w:p w:rsidR="00E56EC4" w:rsidRPr="00B16E65" w:rsidRDefault="00E56EC4" w:rsidP="00B16E65">
      <w:pPr>
        <w:pStyle w:val="a3"/>
        <w:numPr>
          <w:ilvl w:val="0"/>
          <w:numId w:val="1"/>
        </w:numPr>
        <w:spacing w:after="0" w:line="240" w:lineRule="auto"/>
        <w:ind w:left="270" w:hanging="630"/>
        <w:jc w:val="both"/>
        <w:rPr>
          <w:rFonts w:cs="David"/>
          <w:sz w:val="24"/>
          <w:szCs w:val="24"/>
        </w:rPr>
      </w:pPr>
      <w:r w:rsidRPr="00E56EC4">
        <w:rPr>
          <w:rFonts w:cs="David" w:hint="cs"/>
          <w:sz w:val="24"/>
          <w:szCs w:val="24"/>
          <w:rtl/>
        </w:rPr>
        <w:t>ככל שמדובר בתאגיד, עליו להציע מועמד מטעמו לרישום במאגר, שכן הרישום במאגר הינו רישום שמי של בעל מקצוע רלוונטי מטעם המציע, על המציע לעמוד בתנאים הכלליים ובתנאי הניסיון, ועל המועמד לעמוד בתנאי הניסיון.</w:t>
      </w:r>
    </w:p>
    <w:p w:rsidR="00EE1436" w:rsidRDefault="00E56EC4" w:rsidP="00B16E65">
      <w:pPr>
        <w:pStyle w:val="a3"/>
        <w:numPr>
          <w:ilvl w:val="0"/>
          <w:numId w:val="1"/>
        </w:numPr>
        <w:spacing w:after="0" w:line="240" w:lineRule="auto"/>
        <w:ind w:left="270" w:hanging="630"/>
        <w:jc w:val="both"/>
        <w:rPr>
          <w:rFonts w:cs="David"/>
          <w:sz w:val="24"/>
          <w:szCs w:val="24"/>
        </w:rPr>
      </w:pPr>
      <w:r w:rsidRPr="00E56EC4">
        <w:rPr>
          <w:rFonts w:cs="David" w:hint="cs"/>
          <w:sz w:val="24"/>
          <w:szCs w:val="24"/>
          <w:rtl/>
        </w:rPr>
        <w:t>מבקש אשר הינו בעל יותר מתחום התמחות אחד רשאי להגיש בקשות נפרדות ביחס לכל אחד מתחומי התמחותו.</w:t>
      </w:r>
    </w:p>
    <w:p w:rsidR="00E56EC4" w:rsidRPr="00B16E65" w:rsidRDefault="00EE1436" w:rsidP="00D11587">
      <w:pPr>
        <w:pStyle w:val="a3"/>
        <w:numPr>
          <w:ilvl w:val="0"/>
          <w:numId w:val="1"/>
        </w:numPr>
        <w:spacing w:after="0" w:line="240" w:lineRule="auto"/>
        <w:ind w:left="270" w:hanging="630"/>
        <w:jc w:val="both"/>
        <w:rPr>
          <w:rFonts w:cs="David"/>
          <w:sz w:val="24"/>
          <w:szCs w:val="24"/>
          <w:rtl/>
        </w:rPr>
      </w:pPr>
      <w:r w:rsidRPr="00B16E65">
        <w:rPr>
          <w:rFonts w:cs="David" w:hint="cs"/>
          <w:sz w:val="24"/>
          <w:szCs w:val="24"/>
          <w:rtl/>
        </w:rPr>
        <w:t>יש להוריד את טופס</w:t>
      </w:r>
      <w:r w:rsidRPr="00EE1436">
        <w:rPr>
          <w:rtl/>
        </w:rPr>
        <w:t xml:space="preserve"> </w:t>
      </w:r>
      <w:r w:rsidRPr="00B16E65">
        <w:rPr>
          <w:rFonts w:cs="David"/>
          <w:sz w:val="24"/>
          <w:szCs w:val="24"/>
          <w:rtl/>
        </w:rPr>
        <w:t xml:space="preserve">בקשה הצטרפות למאגר יועצים, מומחים ובעלי מומחיות </w:t>
      </w:r>
      <w:r w:rsidRPr="00B16E65">
        <w:rPr>
          <w:rFonts w:cs="David" w:hint="cs"/>
          <w:sz w:val="24"/>
          <w:szCs w:val="24"/>
          <w:rtl/>
        </w:rPr>
        <w:t xml:space="preserve"> </w:t>
      </w:r>
      <w:r w:rsidRPr="00B16E65">
        <w:rPr>
          <w:rFonts w:cs="David"/>
          <w:sz w:val="24"/>
          <w:szCs w:val="24"/>
          <w:rtl/>
        </w:rPr>
        <w:t>20</w:t>
      </w:r>
      <w:r w:rsidR="00D11587">
        <w:rPr>
          <w:rFonts w:cs="David" w:hint="cs"/>
          <w:sz w:val="24"/>
          <w:szCs w:val="24"/>
          <w:rtl/>
        </w:rPr>
        <w:t>20</w:t>
      </w:r>
      <w:bookmarkStart w:id="0" w:name="_GoBack"/>
      <w:bookmarkEnd w:id="0"/>
      <w:r w:rsidRPr="00B16E65">
        <w:rPr>
          <w:rFonts w:cs="David"/>
          <w:sz w:val="24"/>
          <w:szCs w:val="24"/>
          <w:rtl/>
        </w:rPr>
        <w:t>-202</w:t>
      </w:r>
      <w:r w:rsidR="00D11587">
        <w:rPr>
          <w:rFonts w:cs="David" w:hint="cs"/>
          <w:sz w:val="24"/>
          <w:szCs w:val="24"/>
          <w:rtl/>
        </w:rPr>
        <w:t>1</w:t>
      </w:r>
      <w:r w:rsidRPr="00B16E65">
        <w:rPr>
          <w:rFonts w:cs="David" w:hint="cs"/>
          <w:sz w:val="24"/>
          <w:szCs w:val="24"/>
          <w:rtl/>
        </w:rPr>
        <w:t xml:space="preserve"> מאתר המעוצה בכתובת </w:t>
      </w:r>
      <w:hyperlink r:id="rId6" w:history="1">
        <w:r w:rsidRPr="00B16E65">
          <w:rPr>
            <w:rStyle w:val="Hyperlink"/>
            <w:rFonts w:cs="David"/>
            <w:sz w:val="24"/>
            <w:szCs w:val="24"/>
          </w:rPr>
          <w:t>www.yaffa.org.il</w:t>
        </w:r>
      </w:hyperlink>
      <w:r w:rsidRPr="00B16E65">
        <w:rPr>
          <w:rFonts w:cs="David"/>
          <w:sz w:val="24"/>
          <w:szCs w:val="24"/>
        </w:rPr>
        <w:t xml:space="preserve"> </w:t>
      </w:r>
      <w:r w:rsidRPr="00B16E65">
        <w:rPr>
          <w:rFonts w:cs="David" w:hint="cs"/>
          <w:sz w:val="24"/>
          <w:szCs w:val="24"/>
          <w:rtl/>
        </w:rPr>
        <w:t xml:space="preserve"> </w:t>
      </w:r>
      <w:r w:rsidR="00B16E65">
        <w:rPr>
          <w:rFonts w:cs="David" w:hint="cs"/>
          <w:sz w:val="24"/>
          <w:szCs w:val="24"/>
          <w:rtl/>
        </w:rPr>
        <w:t>מ</w:t>
      </w:r>
      <w:r w:rsidR="00B16E65" w:rsidRPr="00B16E65">
        <w:rPr>
          <w:rFonts w:cs="David" w:hint="cs"/>
          <w:sz w:val="24"/>
          <w:szCs w:val="24"/>
          <w:rtl/>
        </w:rPr>
        <w:t>קטגוריה טפסים.</w:t>
      </w:r>
    </w:p>
    <w:p w:rsidR="00E56EC4" w:rsidRPr="00B16E65" w:rsidRDefault="00E56EC4" w:rsidP="00D11587">
      <w:pPr>
        <w:pStyle w:val="a3"/>
        <w:numPr>
          <w:ilvl w:val="0"/>
          <w:numId w:val="1"/>
        </w:numPr>
        <w:spacing w:after="0" w:line="240" w:lineRule="auto"/>
        <w:ind w:left="270" w:hanging="630"/>
        <w:jc w:val="both"/>
        <w:rPr>
          <w:rFonts w:cs="David"/>
          <w:sz w:val="24"/>
          <w:szCs w:val="24"/>
          <w:rtl/>
        </w:rPr>
      </w:pPr>
      <w:r w:rsidRPr="00E56EC4">
        <w:rPr>
          <w:rFonts w:cs="David" w:hint="cs"/>
          <w:sz w:val="24"/>
          <w:szCs w:val="24"/>
          <w:rtl/>
        </w:rPr>
        <w:t xml:space="preserve">יש להגיש את הבקשה להיכלל במאגר היועצים בליווי המסמכים הנדרשים </w:t>
      </w:r>
      <w:r>
        <w:rPr>
          <w:rFonts w:cs="David" w:hint="cs"/>
          <w:sz w:val="24"/>
          <w:szCs w:val="24"/>
          <w:rtl/>
        </w:rPr>
        <w:t>למזכירות המועצה</w:t>
      </w:r>
      <w:r w:rsidRPr="00E56EC4">
        <w:rPr>
          <w:rFonts w:cs="David" w:hint="cs"/>
          <w:sz w:val="24"/>
          <w:szCs w:val="24"/>
          <w:rtl/>
        </w:rPr>
        <w:t xml:space="preserve"> </w:t>
      </w:r>
      <w:r>
        <w:rPr>
          <w:rFonts w:cs="David" w:hint="cs"/>
          <w:sz w:val="24"/>
          <w:szCs w:val="24"/>
          <w:rtl/>
        </w:rPr>
        <w:t>ביפיע או לחילופין באמצעות הדואר האלקטרוני</w:t>
      </w:r>
      <w:r w:rsidRPr="00E56EC4">
        <w:rPr>
          <w:rFonts w:cs="David" w:hint="cs"/>
          <w:sz w:val="24"/>
          <w:szCs w:val="24"/>
          <w:rtl/>
        </w:rPr>
        <w:t xml:space="preserve"> שכתובתו</w:t>
      </w:r>
      <w:r w:rsidRPr="00AE4268">
        <w:rPr>
          <w:rFonts w:cs="David" w:hint="cs"/>
          <w:b/>
          <w:bCs/>
          <w:i/>
          <w:iCs/>
          <w:sz w:val="24"/>
          <w:szCs w:val="24"/>
          <w:rtl/>
        </w:rPr>
        <w:t xml:space="preserve"> </w:t>
      </w:r>
      <w:r w:rsidR="00AE4268">
        <w:rPr>
          <w:rFonts w:cs="Miriam"/>
          <w:b/>
          <w:bCs/>
          <w:i/>
          <w:iCs/>
          <w:sz w:val="24"/>
          <w:szCs w:val="24"/>
        </w:rPr>
        <w:t>kayed@yaffa.org.il</w:t>
      </w:r>
      <w:r w:rsidR="00EE1436">
        <w:rPr>
          <w:rFonts w:cs="David" w:hint="cs"/>
          <w:sz w:val="24"/>
          <w:szCs w:val="24"/>
          <w:rtl/>
        </w:rPr>
        <w:t>.</w:t>
      </w:r>
    </w:p>
    <w:p w:rsidR="00E56EC4" w:rsidRPr="00AE4268" w:rsidRDefault="00E56EC4" w:rsidP="00E56EC4">
      <w:pPr>
        <w:pStyle w:val="a3"/>
        <w:numPr>
          <w:ilvl w:val="0"/>
          <w:numId w:val="1"/>
        </w:numPr>
        <w:spacing w:after="0" w:line="240" w:lineRule="auto"/>
        <w:ind w:left="270" w:hanging="630"/>
        <w:jc w:val="both"/>
        <w:rPr>
          <w:rFonts w:cs="David"/>
        </w:rPr>
      </w:pPr>
      <w:r w:rsidRPr="00E56EC4">
        <w:rPr>
          <w:rFonts w:cs="David" w:hint="cs"/>
          <w:sz w:val="24"/>
          <w:szCs w:val="24"/>
          <w:rtl/>
        </w:rPr>
        <w:t>על הזמנה זו לא יחולו דיני המכרזים, והמועצה אינה מתחייבת לקבל כל הצעה שהיא ותהיה רשאית לנהל מו"מ עם מי ממגישי ההצעות ו/או עם אחרים.</w:t>
      </w:r>
    </w:p>
    <w:p w:rsidR="00AE4268" w:rsidRPr="00AE4268" w:rsidRDefault="00AE4268" w:rsidP="00E56EC4">
      <w:pPr>
        <w:pStyle w:val="a3"/>
        <w:numPr>
          <w:ilvl w:val="0"/>
          <w:numId w:val="1"/>
        </w:numPr>
        <w:spacing w:after="0" w:line="240" w:lineRule="auto"/>
        <w:ind w:left="270" w:hanging="630"/>
        <w:jc w:val="both"/>
        <w:rPr>
          <w:rFonts w:cs="David"/>
          <w:sz w:val="24"/>
          <w:szCs w:val="24"/>
        </w:rPr>
      </w:pPr>
      <w:r w:rsidRPr="00AE4268">
        <w:rPr>
          <w:rFonts w:cs="David" w:hint="cs"/>
          <w:sz w:val="24"/>
          <w:szCs w:val="24"/>
          <w:rtl/>
        </w:rPr>
        <w:t xml:space="preserve">מודגש בזאת כי כל לשון זכר בהודעה זו, גם לשון נקבה במשמע, ולהיפך. </w:t>
      </w:r>
    </w:p>
    <w:p w:rsidR="00E56EC4" w:rsidRPr="00E56EC4" w:rsidRDefault="00E56EC4" w:rsidP="00E56EC4">
      <w:pPr>
        <w:pStyle w:val="a3"/>
        <w:rPr>
          <w:rFonts w:cs="David"/>
          <w:sz w:val="10"/>
          <w:szCs w:val="10"/>
        </w:rPr>
      </w:pPr>
    </w:p>
    <w:p w:rsidR="00E56EC4" w:rsidRPr="00E56EC4" w:rsidRDefault="00E56EC4" w:rsidP="00E56EC4">
      <w:pPr>
        <w:pStyle w:val="a3"/>
        <w:rPr>
          <w:rFonts w:cs="David"/>
          <w:sz w:val="10"/>
          <w:szCs w:val="10"/>
          <w:rtl/>
        </w:rPr>
      </w:pPr>
    </w:p>
    <w:p w:rsidR="00E56EC4" w:rsidRPr="00E56EC4" w:rsidRDefault="00E56EC4" w:rsidP="00E56EC4">
      <w:pPr>
        <w:pStyle w:val="a3"/>
        <w:spacing w:after="0" w:line="240" w:lineRule="auto"/>
        <w:ind w:left="274"/>
        <w:jc w:val="both"/>
        <w:rPr>
          <w:rFonts w:cs="David"/>
          <w:sz w:val="10"/>
          <w:szCs w:val="10"/>
        </w:rPr>
      </w:pPr>
    </w:p>
    <w:p w:rsidR="009308BE" w:rsidRDefault="00E56EC4" w:rsidP="00E56EC4">
      <w:pPr>
        <w:ind w:left="5760"/>
        <w:rPr>
          <w:rFonts w:cs="David"/>
          <w:b/>
          <w:bCs/>
          <w:sz w:val="24"/>
          <w:szCs w:val="24"/>
        </w:rPr>
      </w:pPr>
      <w:r>
        <w:rPr>
          <w:rFonts w:cs="David"/>
          <w:b/>
          <w:bCs/>
          <w:sz w:val="24"/>
          <w:szCs w:val="24"/>
        </w:rPr>
        <w:t xml:space="preserve">        </w:t>
      </w:r>
      <w:r w:rsidRPr="00E56EC4">
        <w:rPr>
          <w:rFonts w:cs="David" w:hint="cs"/>
          <w:b/>
          <w:bCs/>
          <w:sz w:val="24"/>
          <w:szCs w:val="24"/>
          <w:rtl/>
        </w:rPr>
        <w:t xml:space="preserve">בכבוד רב </w:t>
      </w:r>
    </w:p>
    <w:p w:rsidR="00E56EC4" w:rsidRDefault="00E56EC4" w:rsidP="00E56EC4">
      <w:pPr>
        <w:spacing w:after="0" w:line="240" w:lineRule="auto"/>
        <w:ind w:left="5040" w:firstLine="720"/>
        <w:rPr>
          <w:rFonts w:cs="David"/>
          <w:b/>
          <w:bCs/>
          <w:sz w:val="24"/>
          <w:szCs w:val="24"/>
        </w:rPr>
      </w:pPr>
      <w:r>
        <w:rPr>
          <w:rFonts w:cs="David"/>
          <w:b/>
          <w:bCs/>
          <w:sz w:val="24"/>
          <w:szCs w:val="24"/>
        </w:rPr>
        <w:t xml:space="preserve">      </w:t>
      </w:r>
      <w:r w:rsidRPr="00E56EC4">
        <w:rPr>
          <w:rFonts w:cs="David" w:hint="cs"/>
          <w:b/>
          <w:bCs/>
          <w:sz w:val="24"/>
          <w:szCs w:val="24"/>
          <w:rtl/>
        </w:rPr>
        <w:t>מאהר ח'ליליה</w:t>
      </w:r>
    </w:p>
    <w:p w:rsidR="00E56EC4" w:rsidRDefault="00E56EC4" w:rsidP="00E56EC4">
      <w:pPr>
        <w:pStyle w:val="a3"/>
        <w:spacing w:after="0" w:line="240" w:lineRule="auto"/>
        <w:ind w:left="5460"/>
        <w:rPr>
          <w:rtl/>
        </w:rPr>
      </w:pPr>
      <w:r>
        <w:rPr>
          <w:rFonts w:cs="David"/>
          <w:b/>
          <w:bCs/>
          <w:sz w:val="24"/>
          <w:szCs w:val="24"/>
        </w:rPr>
        <w:t xml:space="preserve"> </w:t>
      </w:r>
      <w:r w:rsidRPr="00E56EC4">
        <w:rPr>
          <w:rFonts w:cs="David" w:hint="cs"/>
          <w:b/>
          <w:bCs/>
          <w:sz w:val="24"/>
          <w:szCs w:val="24"/>
          <w:rtl/>
        </w:rPr>
        <w:t xml:space="preserve">ראש המועצה המקומית יפיע </w:t>
      </w:r>
    </w:p>
    <w:sectPr w:rsidR="00E56E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850A2"/>
    <w:multiLevelType w:val="multilevel"/>
    <w:tmpl w:val="EF44C7EA"/>
    <w:lvl w:ilvl="0">
      <w:start w:val="1"/>
      <w:numFmt w:val="decimal"/>
      <w:lvlText w:val="%1."/>
      <w:lvlJc w:val="left"/>
      <w:pPr>
        <w:ind w:left="720" w:hanging="360"/>
      </w:pPr>
      <w:rPr>
        <w:rFonts w:hint="default"/>
        <w:b/>
        <w:bCs/>
        <w:lang w:bidi="he-IL"/>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A9F6FE5"/>
    <w:multiLevelType w:val="hybridMultilevel"/>
    <w:tmpl w:val="C226E682"/>
    <w:lvl w:ilvl="0" w:tplc="8346A61A">
      <w:start w:val="1"/>
      <w:numFmt w:val="bullet"/>
      <w:lvlText w:val="–"/>
      <w:lvlJc w:val="left"/>
      <w:pPr>
        <w:ind w:left="4740" w:hanging="360"/>
      </w:pPr>
      <w:rPr>
        <w:rFonts w:ascii="Calibri" w:eastAsia="Calibri" w:hAnsi="Calibri" w:cs="David" w:hint="default"/>
        <w:b/>
        <w:sz w:val="24"/>
      </w:rPr>
    </w:lvl>
    <w:lvl w:ilvl="1" w:tplc="04090003" w:tentative="1">
      <w:start w:val="1"/>
      <w:numFmt w:val="bullet"/>
      <w:lvlText w:val="o"/>
      <w:lvlJc w:val="left"/>
      <w:pPr>
        <w:ind w:left="5460" w:hanging="360"/>
      </w:pPr>
      <w:rPr>
        <w:rFonts w:ascii="Courier New" w:hAnsi="Courier New" w:cs="Courier New" w:hint="default"/>
      </w:rPr>
    </w:lvl>
    <w:lvl w:ilvl="2" w:tplc="04090005" w:tentative="1">
      <w:start w:val="1"/>
      <w:numFmt w:val="bullet"/>
      <w:lvlText w:val=""/>
      <w:lvlJc w:val="left"/>
      <w:pPr>
        <w:ind w:left="6180" w:hanging="360"/>
      </w:pPr>
      <w:rPr>
        <w:rFonts w:ascii="Wingdings" w:hAnsi="Wingdings" w:hint="default"/>
      </w:rPr>
    </w:lvl>
    <w:lvl w:ilvl="3" w:tplc="04090001" w:tentative="1">
      <w:start w:val="1"/>
      <w:numFmt w:val="bullet"/>
      <w:lvlText w:val=""/>
      <w:lvlJc w:val="left"/>
      <w:pPr>
        <w:ind w:left="6900" w:hanging="360"/>
      </w:pPr>
      <w:rPr>
        <w:rFonts w:ascii="Symbol" w:hAnsi="Symbol" w:hint="default"/>
      </w:rPr>
    </w:lvl>
    <w:lvl w:ilvl="4" w:tplc="04090003" w:tentative="1">
      <w:start w:val="1"/>
      <w:numFmt w:val="bullet"/>
      <w:lvlText w:val="o"/>
      <w:lvlJc w:val="left"/>
      <w:pPr>
        <w:ind w:left="7620" w:hanging="360"/>
      </w:pPr>
      <w:rPr>
        <w:rFonts w:ascii="Courier New" w:hAnsi="Courier New" w:cs="Courier New" w:hint="default"/>
      </w:rPr>
    </w:lvl>
    <w:lvl w:ilvl="5" w:tplc="04090005" w:tentative="1">
      <w:start w:val="1"/>
      <w:numFmt w:val="bullet"/>
      <w:lvlText w:val=""/>
      <w:lvlJc w:val="left"/>
      <w:pPr>
        <w:ind w:left="8340" w:hanging="360"/>
      </w:pPr>
      <w:rPr>
        <w:rFonts w:ascii="Wingdings" w:hAnsi="Wingdings" w:hint="default"/>
      </w:rPr>
    </w:lvl>
    <w:lvl w:ilvl="6" w:tplc="04090001" w:tentative="1">
      <w:start w:val="1"/>
      <w:numFmt w:val="bullet"/>
      <w:lvlText w:val=""/>
      <w:lvlJc w:val="left"/>
      <w:pPr>
        <w:ind w:left="9060" w:hanging="360"/>
      </w:pPr>
      <w:rPr>
        <w:rFonts w:ascii="Symbol" w:hAnsi="Symbol" w:hint="default"/>
      </w:rPr>
    </w:lvl>
    <w:lvl w:ilvl="7" w:tplc="04090003" w:tentative="1">
      <w:start w:val="1"/>
      <w:numFmt w:val="bullet"/>
      <w:lvlText w:val="o"/>
      <w:lvlJc w:val="left"/>
      <w:pPr>
        <w:ind w:left="9780" w:hanging="360"/>
      </w:pPr>
      <w:rPr>
        <w:rFonts w:ascii="Courier New" w:hAnsi="Courier New" w:cs="Courier New" w:hint="default"/>
      </w:rPr>
    </w:lvl>
    <w:lvl w:ilvl="8" w:tplc="04090005" w:tentative="1">
      <w:start w:val="1"/>
      <w:numFmt w:val="bullet"/>
      <w:lvlText w:val=""/>
      <w:lvlJc w:val="left"/>
      <w:pPr>
        <w:ind w:left="105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C4"/>
    <w:rsid w:val="004F0704"/>
    <w:rsid w:val="007F1537"/>
    <w:rsid w:val="009308BE"/>
    <w:rsid w:val="00AE4268"/>
    <w:rsid w:val="00B16E65"/>
    <w:rsid w:val="00BE5E4A"/>
    <w:rsid w:val="00D11587"/>
    <w:rsid w:val="00E56EC4"/>
    <w:rsid w:val="00EE1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B43F"/>
  <w15:docId w15:val="{69CEC6C8-EB2E-462B-BDDC-D8580572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EC4"/>
    <w:pPr>
      <w:bidi/>
    </w:pPr>
    <w:rPr>
      <w:rFonts w:ascii="Calibri" w:eastAsia="Calibri" w:hAnsi="Calibri" w:cs="Arial"/>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EC4"/>
    <w:pPr>
      <w:ind w:left="720"/>
      <w:contextualSpacing/>
    </w:pPr>
  </w:style>
  <w:style w:type="character" w:styleId="Hyperlink">
    <w:name w:val="Hyperlink"/>
    <w:uiPriority w:val="99"/>
    <w:unhideWhenUsed/>
    <w:rsid w:val="00E56EC4"/>
    <w:rPr>
      <w:color w:val="0000FF"/>
      <w:u w:val="single"/>
    </w:rPr>
  </w:style>
  <w:style w:type="paragraph" w:styleId="a4">
    <w:name w:val="Balloon Text"/>
    <w:basedOn w:val="a"/>
    <w:link w:val="a5"/>
    <w:uiPriority w:val="99"/>
    <w:semiHidden/>
    <w:unhideWhenUsed/>
    <w:rsid w:val="00E56EC4"/>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E56EC4"/>
    <w:rPr>
      <w:rFonts w:ascii="Tahoma" w:eastAsia="Calibri"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ffa.org.i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308</Words>
  <Characters>1545</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וסים שאער</dc:creator>
  <cp:lastModifiedBy>כאיד עטיה</cp:lastModifiedBy>
  <cp:revision>3</cp:revision>
  <cp:lastPrinted>2019-07-11T11:28:00Z</cp:lastPrinted>
  <dcterms:created xsi:type="dcterms:W3CDTF">2019-12-10T06:31:00Z</dcterms:created>
  <dcterms:modified xsi:type="dcterms:W3CDTF">2019-12-10T06:57:00Z</dcterms:modified>
</cp:coreProperties>
</file>